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val="en-US" w:eastAsia="zh-CN"/>
        </w:rPr>
        <w:t>公示材料</w:t>
      </w:r>
    </w:p>
    <w:p>
      <w:pPr>
        <w:rPr>
          <w:rFonts w:hint="default" w:ascii="微软雅黑" w:hAnsi="微软雅黑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一、提名奖种：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  <w:t>国家科技进步奖</w:t>
      </w:r>
    </w:p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复杂血管瘤与脉管畸形诊疗体系的建立与应用</w:t>
      </w:r>
      <w:r>
        <w:rPr>
          <w:rFonts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 xml:space="preserve">   </w:t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/>
          <w:sz w:val="28"/>
          <w:szCs w:val="28"/>
        </w:rPr>
        <w:t>提名者：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中国医疗保健国际交流促进会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/>
          <w:sz w:val="28"/>
          <w:szCs w:val="28"/>
        </w:rPr>
        <w:t>主要完成人：</w:t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林晓曦</w:t>
      </w:r>
      <w:r>
        <w:rPr>
          <w:rFonts w:ascii="微软雅黑" w:hAnsi="微软雅黑" w:eastAsia="微软雅黑"/>
          <w:b/>
          <w:bCs/>
          <w:sz w:val="28"/>
          <w:szCs w:val="28"/>
        </w:rPr>
        <w:t xml:space="preserve"> 潘巍峻 华晨 金云波 陈辉 马刚 仇雅璟 杨希 于文心 应涵汝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五、</w:t>
      </w:r>
      <w:r>
        <w:rPr>
          <w:rFonts w:hint="eastAsia" w:ascii="黑体" w:hAnsi="黑体" w:eastAsia="黑体"/>
          <w:sz w:val="28"/>
          <w:szCs w:val="28"/>
        </w:rPr>
        <w:t>主要完成单位：</w:t>
      </w:r>
    </w:p>
    <w:p>
      <w:pPr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上海交通大学医学院附属第九人民医院</w:t>
      </w:r>
    </w:p>
    <w:p>
      <w:pPr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中国科学院上海营养与健康研究所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六、</w:t>
      </w:r>
      <w:r>
        <w:rPr>
          <w:rFonts w:hint="eastAsia" w:ascii="黑体" w:hAnsi="黑体" w:eastAsia="黑体"/>
          <w:sz w:val="28"/>
          <w:szCs w:val="28"/>
        </w:rPr>
        <w:t>主要知识产权和标准规范等目录：</w:t>
      </w:r>
    </w:p>
    <w:tbl>
      <w:tblPr>
        <w:tblStyle w:val="5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85"/>
        <w:gridCol w:w="708"/>
        <w:gridCol w:w="1134"/>
        <w:gridCol w:w="709"/>
        <w:gridCol w:w="851"/>
        <w:gridCol w:w="1275"/>
        <w:gridCol w:w="1134"/>
        <w:gridCol w:w="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知识产权（标准）类别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知识产权（标准）具体名称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国家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（地区）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授权号（标准编号）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授权（标准发布）日期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证书编号</w:t>
            </w: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（标准批准发布部门）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权利人（标准起草单位）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发明人（标准起草人）</w:t>
            </w:r>
          </w:p>
        </w:tc>
        <w:tc>
          <w:tcPr>
            <w:tcW w:w="7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32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论文</w:t>
            </w:r>
          </w:p>
        </w:tc>
        <w:tc>
          <w:tcPr>
            <w:tcW w:w="198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Treatment of capillary vascular malformation (port-wine stains) with photochemotherapy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中国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 Reconstr Surg. 1997 Jun;99(7):1826-30</w:t>
            </w:r>
          </w:p>
        </w:tc>
        <w:tc>
          <w:tcPr>
            <w:tcW w:w="70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1997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年6月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PMID: 9180705.</w:t>
            </w:r>
          </w:p>
        </w:tc>
        <w:tc>
          <w:tcPr>
            <w:tcW w:w="1275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上海交通大学医学院附属第九人民医院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林晓曦，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王</w:t>
            </w:r>
            <w:r>
              <w:rPr>
                <w:rFonts w:hint="eastAsia" w:ascii="仿宋" w:hAnsi="仿宋" w:eastAsia="仿宋" w:cs="Times New Roman"/>
                <w:color w:val="000000"/>
              </w:rPr>
              <w:t>炜</w:t>
            </w:r>
            <w:r>
              <w:rPr>
                <w:rFonts w:ascii="仿宋" w:hAnsi="仿宋" w:eastAsia="仿宋" w:cs="Times New Roman"/>
                <w:color w:val="000000"/>
              </w:rPr>
              <w:t>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张涤生等</w:t>
            </w:r>
          </w:p>
        </w:tc>
        <w:tc>
          <w:tcPr>
            <w:tcW w:w="7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9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论文</w:t>
            </w:r>
          </w:p>
        </w:tc>
        <w:tc>
          <w:tcPr>
            <w:tcW w:w="198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Treatment of Early-stage Extracranial Arteriovenous Malformations with Intralesional Interstitial Bleomycin Injection: A Pilot Study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中国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Radiology. 2018 Apr;287(1):194-204.</w:t>
            </w:r>
          </w:p>
        </w:tc>
        <w:tc>
          <w:tcPr>
            <w:tcW w:w="709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年4月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doi: 10.1148/radiol.2017162076</w:t>
            </w:r>
          </w:p>
        </w:tc>
        <w:tc>
          <w:tcPr>
            <w:tcW w:w="127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上海交通大学医学院附属第九人民医院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金云波，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邹运，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华晨</w:t>
            </w:r>
            <w:r>
              <w:rPr>
                <w:rFonts w:hint="eastAsia" w:ascii="仿宋" w:hAnsi="仿宋" w:eastAsia="仿宋" w:cs="Times New Roman"/>
                <w:color w:val="000000"/>
              </w:rPr>
              <w:t>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林晓曦</w:t>
            </w:r>
            <w:r>
              <w:rPr>
                <w:rFonts w:ascii="仿宋" w:hAnsi="仿宋" w:eastAsia="仿宋" w:cs="Times New Roman"/>
                <w:color w:val="000000"/>
              </w:rPr>
              <w:t>等</w:t>
            </w:r>
          </w:p>
        </w:tc>
        <w:tc>
          <w:tcPr>
            <w:tcW w:w="7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9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论文</w:t>
            </w:r>
          </w:p>
        </w:tc>
        <w:tc>
          <w:tcPr>
            <w:tcW w:w="198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A case series of tardive expansion congenital hemangioma: A variation of noninvoluting congenital hemangioma or a new hemangiomatous entity?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中国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 Am Acad Dermatol. 2021 May;84(5):1371-1377</w:t>
            </w:r>
          </w:p>
        </w:tc>
        <w:tc>
          <w:tcPr>
            <w:tcW w:w="709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年5月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doi: 10.1016/j.jaad.2020.01.069</w:t>
            </w:r>
          </w:p>
        </w:tc>
        <w:tc>
          <w:tcPr>
            <w:tcW w:w="127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上海交通大学医学院附属第九人民医院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华晨，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金云波，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林晓曦等</w:t>
            </w:r>
          </w:p>
        </w:tc>
        <w:tc>
          <w:tcPr>
            <w:tcW w:w="7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9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论文</w:t>
            </w:r>
          </w:p>
        </w:tc>
        <w:tc>
          <w:tcPr>
            <w:tcW w:w="198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Endothelial CDS2 deficiency causes VEGFA-mediated vascular regression and tumor inhibition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中国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 Res. 2019 Nov;29(11):895-910</w:t>
            </w:r>
          </w:p>
        </w:tc>
        <w:tc>
          <w:tcPr>
            <w:tcW w:w="709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2019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年1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月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doi: 10.1038/s41422-019-0229-5</w:t>
            </w:r>
          </w:p>
        </w:tc>
        <w:tc>
          <w:tcPr>
            <w:tcW w:w="1275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中国科学院上海营养与健康研究所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赵稳操，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林晓曦，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潘巍峻等</w:t>
            </w:r>
          </w:p>
        </w:tc>
        <w:tc>
          <w:tcPr>
            <w:tcW w:w="7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论文</w:t>
            </w:r>
          </w:p>
        </w:tc>
        <w:tc>
          <w:tcPr>
            <w:tcW w:w="198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Effects of Botulinum Toxin on Improving Facial Surgical Scars: A Prospective, Split-Scar, Double-Blind, Randomized Controlled Trial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中国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Plast Reconstr Surg. 2018 Mar;141(3):646-650</w:t>
            </w:r>
          </w:p>
        </w:tc>
        <w:tc>
          <w:tcPr>
            <w:tcW w:w="70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年3月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doi: 10.1097/PRS.0000000000004110</w:t>
            </w:r>
          </w:p>
        </w:tc>
        <w:tc>
          <w:tcPr>
            <w:tcW w:w="127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上海交通大学医学院附属第九人民医院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胡丽，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金云波，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林晓曦等</w:t>
            </w:r>
          </w:p>
        </w:tc>
        <w:tc>
          <w:tcPr>
            <w:tcW w:w="7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论文</w:t>
            </w:r>
          </w:p>
        </w:tc>
        <w:tc>
          <w:tcPr>
            <w:tcW w:w="1985" w:type="dxa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Why do port-wine stains (PWS) on the lateral face respond better to pulsed dye laser (PDL) than those located on the central face?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中国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J Am Acad Dermatol. 2016 Mar;74(3):527-35</w:t>
            </w:r>
          </w:p>
        </w:tc>
        <w:tc>
          <w:tcPr>
            <w:tcW w:w="70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2016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年3月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doi: 10.1016/j.jaad.2015.08.026</w:t>
            </w:r>
          </w:p>
        </w:tc>
        <w:tc>
          <w:tcPr>
            <w:tcW w:w="127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上海交通大学医学院附属第九人民医院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于文心，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马刚，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林晓曦等</w:t>
            </w:r>
          </w:p>
        </w:tc>
        <w:tc>
          <w:tcPr>
            <w:tcW w:w="7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论文</w:t>
            </w:r>
          </w:p>
        </w:tc>
        <w:tc>
          <w:tcPr>
            <w:tcW w:w="198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Imiquimod 5% cream versus timolol 0.5% ophthalmic solution for treating superficial proliferating infantile haemangiomas: a retrospective study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中国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Clin Exp Dermatol. 2013 Dec;38(8):845-50</w:t>
            </w:r>
          </w:p>
        </w:tc>
        <w:tc>
          <w:tcPr>
            <w:tcW w:w="70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2013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年1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月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doi: 10.1111/ced.12150</w:t>
            </w:r>
          </w:p>
        </w:tc>
        <w:tc>
          <w:tcPr>
            <w:tcW w:w="127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上海交通大学医学院附属第九人民医院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仇雅璟，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马刚，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林晓曦等</w:t>
            </w:r>
          </w:p>
        </w:tc>
        <w:tc>
          <w:tcPr>
            <w:tcW w:w="7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论文</w:t>
            </w:r>
          </w:p>
        </w:tc>
        <w:tc>
          <w:tcPr>
            <w:tcW w:w="198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Sclerotherapy after embolization of draining vein: a safe treatment method for venous malformations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中国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J Vasc Surg. 2008 Jun;47(6):1292-9</w:t>
            </w:r>
          </w:p>
        </w:tc>
        <w:tc>
          <w:tcPr>
            <w:tcW w:w="70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2008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年6月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doi: 10.1016/j.jvs.2008.01.010</w:t>
            </w:r>
          </w:p>
        </w:tc>
        <w:tc>
          <w:tcPr>
            <w:tcW w:w="127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上海交通大学医学院附属第九人民医院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金云波，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林晓曦，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王炜</w:t>
            </w:r>
            <w:r>
              <w:rPr>
                <w:rFonts w:ascii="仿宋" w:hAnsi="仿宋" w:eastAsia="仿宋" w:cs="Times New Roman"/>
                <w:color w:val="000000"/>
              </w:rPr>
              <w:t>等</w:t>
            </w:r>
          </w:p>
        </w:tc>
        <w:tc>
          <w:tcPr>
            <w:tcW w:w="7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论文</w:t>
            </w:r>
          </w:p>
        </w:tc>
        <w:tc>
          <w:tcPr>
            <w:tcW w:w="198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Auricular Arteriovenous Malformations: Potential Success of Superselective Ethanol Embolotherapy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中国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J Vasc Interv Radiol. 2009, 20(6): 736-744</w:t>
            </w:r>
          </w:p>
        </w:tc>
        <w:tc>
          <w:tcPr>
            <w:tcW w:w="70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2009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月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doi: 10.1016/j.jvir.2009.02.008</w:t>
            </w:r>
          </w:p>
        </w:tc>
        <w:tc>
          <w:tcPr>
            <w:tcW w:w="127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上海交通大学医学院附属第九人民医院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金云波</w:t>
            </w:r>
            <w:r>
              <w:rPr>
                <w:rFonts w:ascii="仿宋" w:hAnsi="仿宋" w:eastAsia="仿宋" w:cs="Times New Roman"/>
                <w:color w:val="000000"/>
              </w:rPr>
              <w:t>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林晓曦，</w:t>
            </w:r>
          </w:p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王</w:t>
            </w:r>
            <w:r>
              <w:rPr>
                <w:rFonts w:hint="eastAsia" w:ascii="仿宋" w:hAnsi="仿宋" w:eastAsia="仿宋" w:cs="Times New Roman"/>
                <w:color w:val="000000"/>
              </w:rPr>
              <w:t>炜</w:t>
            </w:r>
            <w:r>
              <w:rPr>
                <w:rFonts w:ascii="仿宋" w:hAnsi="仿宋" w:eastAsia="仿宋" w:cs="Times New Roman"/>
                <w:color w:val="000000"/>
              </w:rPr>
              <w:t>等</w:t>
            </w:r>
          </w:p>
        </w:tc>
        <w:tc>
          <w:tcPr>
            <w:tcW w:w="7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其他有效的知识产权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9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指南</w:t>
            </w:r>
          </w:p>
        </w:tc>
        <w:tc>
          <w:tcPr>
            <w:tcW w:w="198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血管瘤和脉管畸形诊断和治疗指南（2016版）</w:t>
            </w:r>
          </w:p>
        </w:tc>
        <w:tc>
          <w:tcPr>
            <w:tcW w:w="708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中国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组织工程与重建外科杂志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[J]. 2016,12(2):63-93,97</w:t>
            </w:r>
          </w:p>
        </w:tc>
        <w:tc>
          <w:tcPr>
            <w:tcW w:w="709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2016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年4月</w:t>
            </w:r>
          </w:p>
        </w:tc>
        <w:tc>
          <w:tcPr>
            <w:tcW w:w="851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无</w:t>
            </w:r>
          </w:p>
        </w:tc>
        <w:tc>
          <w:tcPr>
            <w:tcW w:w="1275" w:type="dxa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中华医学会整形外科分会血管瘤和脉管畸形学组</w:t>
            </w:r>
          </w:p>
        </w:tc>
        <w:tc>
          <w:tcPr>
            <w:tcW w:w="11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ascii="仿宋" w:hAnsi="仿宋" w:eastAsia="仿宋" w:cs="Times New Roman"/>
                <w:color w:val="000000"/>
              </w:rPr>
              <w:t>林晓曦</w:t>
            </w:r>
            <w:r>
              <w:rPr>
                <w:rFonts w:hint="eastAsia" w:ascii="仿宋" w:hAnsi="仿宋" w:eastAsia="仿宋" w:cs="Times New Roman"/>
                <w:color w:val="000000"/>
              </w:rPr>
              <w:t>（通讯作者）</w:t>
            </w:r>
            <w:r>
              <w:rPr>
                <w:rFonts w:ascii="仿宋" w:hAnsi="仿宋" w:eastAsia="仿宋" w:cs="Times New Roman"/>
                <w:color w:val="000000"/>
              </w:rPr>
              <w:t>等</w:t>
            </w:r>
          </w:p>
        </w:tc>
        <w:tc>
          <w:tcPr>
            <w:tcW w:w="734" w:type="dxa"/>
          </w:tcPr>
          <w:p>
            <w:pPr>
              <w:pStyle w:val="2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其他有效的知识产权</w:t>
            </w:r>
          </w:p>
        </w:tc>
      </w:tr>
    </w:tbl>
    <w:p>
      <w:pPr>
        <w:rPr>
          <w:szCs w:val="21"/>
        </w:rPr>
      </w:pPr>
    </w:p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xNjNiNzE1YTVkNDkzZWRjZWNlNTM4NmE3M2NjMzQifQ=="/>
  </w:docVars>
  <w:rsids>
    <w:rsidRoot w:val="00A30DC8"/>
    <w:rsid w:val="00103082"/>
    <w:rsid w:val="0037003F"/>
    <w:rsid w:val="00471521"/>
    <w:rsid w:val="00481216"/>
    <w:rsid w:val="00481A0E"/>
    <w:rsid w:val="004F0051"/>
    <w:rsid w:val="005257FB"/>
    <w:rsid w:val="00546EEB"/>
    <w:rsid w:val="005D6A93"/>
    <w:rsid w:val="00741C1E"/>
    <w:rsid w:val="007C779B"/>
    <w:rsid w:val="00817214"/>
    <w:rsid w:val="00851138"/>
    <w:rsid w:val="008E3176"/>
    <w:rsid w:val="009373BD"/>
    <w:rsid w:val="00A30DC8"/>
    <w:rsid w:val="00A507A4"/>
    <w:rsid w:val="00CB6A39"/>
    <w:rsid w:val="00D82F62"/>
    <w:rsid w:val="00F60153"/>
    <w:rsid w:val="5F4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384</Words>
  <Characters>2195</Characters>
  <Lines>18</Lines>
  <Paragraphs>5</Paragraphs>
  <TotalTime>2</TotalTime>
  <ScaleCrop>false</ScaleCrop>
  <LinksUpToDate>false</LinksUpToDate>
  <CharactersWithSpaces>2574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2024-01-06T11:36:00Z</dcterms:created>
  <dc:creator>son wor</dc:creator>
  <cp:lastModifiedBy>陈祥龙</cp:lastModifiedBy>
  <dcterms:modified xsi:type="dcterms:W3CDTF">2024-01-08T02:23:15Z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8C6346B4FDEA48C3A05054927B49C211_13</vt:lpwstr>
  </property>
</Properties>
</file>